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C7A35" w:rsidRPr="00A32147" w14:paraId="745EB7E2" w14:textId="77777777" w:rsidTr="004B4431">
        <w:tc>
          <w:tcPr>
            <w:tcW w:w="4743" w:type="dxa"/>
          </w:tcPr>
          <w:p w14:paraId="7D232EB4" w14:textId="056EC490" w:rsidR="003C7A35" w:rsidRPr="00A32147" w:rsidRDefault="0022707D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05776E01" wp14:editId="55BAE4DA">
                  <wp:extent cx="1485900" cy="990600"/>
                  <wp:effectExtent l="0" t="0" r="0" b="0"/>
                  <wp:docPr id="3" name="Picture 3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91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CD01" wp14:editId="3FBBEC17">
                      <wp:simplePos x="0" y="0"/>
                      <wp:positionH relativeFrom="column">
                        <wp:posOffset>9559925</wp:posOffset>
                      </wp:positionH>
                      <wp:positionV relativeFrom="paragraph">
                        <wp:posOffset>445135</wp:posOffset>
                      </wp:positionV>
                      <wp:extent cx="1842770" cy="550545"/>
                      <wp:effectExtent l="1905" t="0" r="3175" b="444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10098" w14:textId="77777777" w:rsidR="002D27AD" w:rsidRDefault="002D27AD" w:rsidP="004A6C31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A3E7" w14:textId="77777777" w:rsidR="00537B0E" w:rsidRDefault="00537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AFC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752.75pt;margin-top:35.05pt;width:145.1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AT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" stroked="f">
                      <v:textbox>
                        <w:txbxContent>
                          <w:p w14:paraId="4E610098" w14:textId="77777777" w:rsidR="002D27AD" w:rsidRDefault="002D27AD" w:rsidP="004A6C31">
                            <w:p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0A3E7" w14:textId="77777777" w:rsidR="00537B0E" w:rsidRDefault="00537B0E"/>
                        </w:txbxContent>
                      </v:textbox>
                    </v:shape>
                  </w:pict>
                </mc:Fallback>
              </mc:AlternateContent>
            </w:r>
          </w:p>
          <w:p w14:paraId="49C3B5D0" w14:textId="5DE1BEE5" w:rsidR="003C7A35" w:rsidRPr="003C7A35" w:rsidRDefault="00FC5981" w:rsidP="00FC59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>
              <w:rPr>
                <w:rFonts w:asciiTheme="minorHAnsi" w:hAnsiTheme="minorHAnsi" w:cs="Arial"/>
                <w:bCs/>
                <w:noProof/>
                <w:sz w:val="24"/>
                <w:szCs w:val="24"/>
                <w:lang w:val="mk-MK" w:eastAsia="mk-MK"/>
              </w:rPr>
              <w:t xml:space="preserve">Проектот е финансиран од Европската Унија </w:t>
            </w:r>
            <w:r w:rsidR="003C7A35" w:rsidRPr="003C7A35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4744" w:type="dxa"/>
          </w:tcPr>
          <w:p w14:paraId="7422C14E" w14:textId="77777777" w:rsidR="003C7A35" w:rsidRPr="00A32147" w:rsidRDefault="003C7A35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30C2386D" wp14:editId="6765E7BC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142875</wp:posOffset>
                  </wp:positionV>
                  <wp:extent cx="2000250" cy="876300"/>
                  <wp:effectExtent l="0" t="0" r="0" b="0"/>
                  <wp:wrapSquare wrapText="bothSides"/>
                  <wp:docPr id="4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765B38" w14:textId="77777777" w:rsidR="0056365E" w:rsidRDefault="00563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14:paraId="20966B62" w14:textId="77777777" w:rsidR="0056365E" w:rsidRDefault="00563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14:paraId="45A241A1" w14:textId="77777777" w:rsidR="0056365E" w:rsidRDefault="00563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14:paraId="7CBC8BB6" w14:textId="1DA0CB5F" w:rsidR="00EF6C2E" w:rsidRPr="008567D0" w:rsidRDefault="00FC59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mk-MK"/>
        </w:rPr>
        <w:t xml:space="preserve">За нас </w:t>
      </w:r>
    </w:p>
    <w:p w14:paraId="6848B73B" w14:textId="77777777" w:rsidR="00EF6C2E" w:rsidRPr="008567D0" w:rsidRDefault="00EF6C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b/>
          <w:sz w:val="24"/>
          <w:szCs w:val="24"/>
        </w:rPr>
      </w:pPr>
    </w:p>
    <w:p w14:paraId="48AA44D9" w14:textId="4B5ECDD2" w:rsidR="008567D0" w:rsidRDefault="00FC5981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Коалицијата </w:t>
      </w:r>
      <w:r w:rsidR="00DA04B5">
        <w:rPr>
          <w:rFonts w:ascii="Times New Roman" w:hAnsi="Times New Roman"/>
          <w:sz w:val="24"/>
          <w:szCs w:val="24"/>
          <w:lang w:val="mk-MK"/>
        </w:rPr>
        <w:t>„</w:t>
      </w:r>
      <w:r w:rsidR="002D27AD" w:rsidRPr="00DA04B5">
        <w:rPr>
          <w:rFonts w:ascii="Times New Roman" w:hAnsi="Times New Roman"/>
          <w:sz w:val="24"/>
          <w:szCs w:val="24"/>
        </w:rPr>
        <w:t>Balkan</w:t>
      </w:r>
      <w:r w:rsidRPr="00DA04B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D27AD" w:rsidRPr="00DA04B5">
        <w:rPr>
          <w:rFonts w:ascii="Times New Roman" w:hAnsi="Times New Roman"/>
          <w:sz w:val="24"/>
          <w:szCs w:val="24"/>
        </w:rPr>
        <w:t>Tender</w:t>
      </w:r>
      <w:r w:rsidRPr="00DA04B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D27AD" w:rsidRPr="00DA04B5">
        <w:rPr>
          <w:rFonts w:ascii="Times New Roman" w:hAnsi="Times New Roman"/>
          <w:sz w:val="24"/>
          <w:szCs w:val="24"/>
        </w:rPr>
        <w:t>W</w:t>
      </w:r>
      <w:r w:rsidR="00537B0E" w:rsidRPr="00DA04B5">
        <w:rPr>
          <w:rFonts w:ascii="Times New Roman" w:hAnsi="Times New Roman"/>
          <w:sz w:val="24"/>
          <w:szCs w:val="24"/>
        </w:rPr>
        <w:t>atch</w:t>
      </w:r>
      <w:r w:rsidR="00DA04B5">
        <w:rPr>
          <w:rFonts w:ascii="Times New Roman" w:hAnsi="Times New Roman"/>
          <w:sz w:val="24"/>
          <w:szCs w:val="24"/>
          <w:lang w:val="mk-MK"/>
        </w:rPr>
        <w:t>“</w:t>
      </w:r>
      <w:r w:rsidR="002D27AD" w:rsidRPr="00DA04B5">
        <w:rPr>
          <w:rFonts w:ascii="Times New Roman" w:hAnsi="Times New Roman"/>
          <w:i/>
          <w:sz w:val="24"/>
          <w:szCs w:val="24"/>
        </w:rPr>
        <w:t xml:space="preserve"> </w:t>
      </w:r>
      <w:r w:rsidR="002D27AD" w:rsidRPr="008567D0">
        <w:rPr>
          <w:rFonts w:ascii="Times New Roman" w:hAnsi="Times New Roman"/>
          <w:sz w:val="24"/>
          <w:szCs w:val="24"/>
        </w:rPr>
        <w:t>(BTW)</w:t>
      </w:r>
      <w:r>
        <w:rPr>
          <w:rFonts w:ascii="Times New Roman" w:hAnsi="Times New Roman"/>
          <w:sz w:val="24"/>
          <w:szCs w:val="24"/>
          <w:lang w:val="mk-MK"/>
        </w:rPr>
        <w:t xml:space="preserve"> е основана во 2012 година. Коалицијата е посветена на борба против и сузбивање на корупцијата што, за возврат, има за цел да ја претвори во јадро на антикорупциската заедница во државите од Западен Балкан способн</w:t>
      </w:r>
      <w:r w:rsidR="00DA04B5">
        <w:rPr>
          <w:rFonts w:ascii="Times New Roman" w:hAnsi="Times New Roman"/>
          <w:sz w:val="24"/>
          <w:szCs w:val="24"/>
          <w:lang w:val="mk-MK"/>
        </w:rPr>
        <w:t>о</w:t>
      </w:r>
      <w:r>
        <w:rPr>
          <w:rFonts w:ascii="Times New Roman" w:hAnsi="Times New Roman"/>
          <w:sz w:val="24"/>
          <w:szCs w:val="24"/>
          <w:lang w:val="mk-MK"/>
        </w:rPr>
        <w:t xml:space="preserve"> за развивање приоди на јавната политика, застапување за предложените мерки, тековен мониторинг на антикорупциските политики, посебно во областа на јавните набавки и обезбедување одговор на регионалниот приод што го воведе ЕУ. Сите пет членки на </w:t>
      </w:r>
      <w:r w:rsidR="00D526BE">
        <w:rPr>
          <w:rFonts w:ascii="Times New Roman" w:hAnsi="Times New Roman"/>
          <w:sz w:val="24"/>
          <w:szCs w:val="24"/>
          <w:lang w:val="mk-MK"/>
        </w:rPr>
        <w:t>к</w:t>
      </w:r>
      <w:r>
        <w:rPr>
          <w:rFonts w:ascii="Times New Roman" w:hAnsi="Times New Roman"/>
          <w:sz w:val="24"/>
          <w:szCs w:val="24"/>
          <w:lang w:val="mk-MK"/>
        </w:rPr>
        <w:t xml:space="preserve">оалицијата се активни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на полето на </w:t>
      </w:r>
      <w:r>
        <w:rPr>
          <w:rFonts w:ascii="Times New Roman" w:hAnsi="Times New Roman"/>
          <w:sz w:val="24"/>
          <w:szCs w:val="24"/>
          <w:lang w:val="mk-MK"/>
        </w:rPr>
        <w:t xml:space="preserve">постигнување на долгорочните цели на </w:t>
      </w:r>
      <w:r w:rsidR="002D27AD" w:rsidRPr="008567D0">
        <w:rPr>
          <w:rFonts w:ascii="Times New Roman" w:hAnsi="Times New Roman"/>
          <w:sz w:val="24"/>
          <w:szCs w:val="24"/>
        </w:rPr>
        <w:t>BTW</w:t>
      </w:r>
      <w:r w:rsidR="00DA04B5">
        <w:rPr>
          <w:rFonts w:ascii="Times New Roman" w:hAnsi="Times New Roman"/>
          <w:sz w:val="24"/>
          <w:szCs w:val="24"/>
          <w:lang w:val="mk-MK"/>
        </w:rPr>
        <w:t>,</w:t>
      </w:r>
      <w:r w:rsidR="002D27AD" w:rsidRPr="00856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но во исто време тие се слободни да спроведуваат индивидуални акции</w:t>
      </w:r>
      <w:r w:rsidR="002D27AD" w:rsidRPr="008567D0">
        <w:rPr>
          <w:rFonts w:ascii="Times New Roman" w:hAnsi="Times New Roman"/>
          <w:sz w:val="24"/>
          <w:szCs w:val="24"/>
        </w:rPr>
        <w:t xml:space="preserve">. </w:t>
      </w:r>
    </w:p>
    <w:p w14:paraId="472020AF" w14:textId="2A3620B3" w:rsidR="002D27AD" w:rsidRPr="0056365E" w:rsidRDefault="00FC5981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Членки на </w:t>
      </w:r>
      <w:r w:rsidR="00D526BE">
        <w:rPr>
          <w:rFonts w:ascii="Times New Roman" w:hAnsi="Times New Roman"/>
          <w:b/>
          <w:bCs/>
          <w:sz w:val="24"/>
          <w:szCs w:val="24"/>
          <w:lang w:val="mk-MK"/>
        </w:rPr>
        <w:t>к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>оалицијата</w:t>
      </w:r>
      <w:r w:rsidR="002D27AD" w:rsidRPr="0056365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692A9F9" w14:textId="4A62B9D1" w:rsidR="002D27AD" w:rsidRPr="008567D0" w:rsidRDefault="00FC5981" w:rsidP="008567D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mk-MK"/>
        </w:rPr>
        <w:t>Фондација Отворено општество, Србија</w:t>
      </w:r>
      <w:r w:rsidR="002D27AD" w:rsidRPr="008567D0">
        <w:rPr>
          <w:rFonts w:ascii="Times New Roman" w:hAnsi="Times New Roman"/>
          <w:bCs/>
          <w:sz w:val="24"/>
          <w:szCs w:val="24"/>
        </w:rPr>
        <w:t xml:space="preserve">; </w:t>
      </w:r>
    </w:p>
    <w:p w14:paraId="338F8B7A" w14:textId="3B9DA559" w:rsidR="002D27AD" w:rsidRPr="008567D0" w:rsidRDefault="00FC5981" w:rsidP="008567D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mk-MK"/>
        </w:rPr>
        <w:t>Центар за граѓански комуникации</w:t>
      </w:r>
      <w:r w:rsidR="002D27AD" w:rsidRPr="008567D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mk-MK"/>
        </w:rPr>
        <w:t>Северна Македонија</w:t>
      </w:r>
      <w:r w:rsidR="002D27AD" w:rsidRPr="008567D0">
        <w:rPr>
          <w:rFonts w:ascii="Times New Roman" w:hAnsi="Times New Roman"/>
          <w:bCs/>
          <w:sz w:val="24"/>
          <w:szCs w:val="24"/>
        </w:rPr>
        <w:t>;</w:t>
      </w:r>
    </w:p>
    <w:p w14:paraId="24E68EE1" w14:textId="0D6AB25F" w:rsidR="008567D0" w:rsidRPr="008567D0" w:rsidRDefault="00FC5981" w:rsidP="008567D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mk-MK"/>
        </w:rPr>
        <w:t>Мрежа за афирмација на НВО секторот – МАНС, Црна Гора</w:t>
      </w:r>
      <w:r w:rsidR="008567D0" w:rsidRPr="008567D0">
        <w:rPr>
          <w:rFonts w:ascii="Times New Roman" w:hAnsi="Times New Roman"/>
          <w:bCs/>
          <w:sz w:val="24"/>
          <w:szCs w:val="24"/>
        </w:rPr>
        <w:t>;</w:t>
      </w:r>
    </w:p>
    <w:p w14:paraId="3C04131F" w14:textId="1BC4D2FB" w:rsidR="008567D0" w:rsidRPr="008567D0" w:rsidRDefault="00FC5981" w:rsidP="008567D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mk-MK"/>
        </w:rPr>
        <w:t>Фонд Отворено општество, Босна и Херцеговина</w:t>
      </w:r>
      <w:r w:rsidR="008567D0" w:rsidRPr="008567D0">
        <w:rPr>
          <w:rFonts w:ascii="Times New Roman" w:hAnsi="Times New Roman"/>
          <w:bCs/>
          <w:sz w:val="24"/>
          <w:szCs w:val="24"/>
        </w:rPr>
        <w:t>;</w:t>
      </w:r>
    </w:p>
    <w:p w14:paraId="035E6DBF" w14:textId="292B1148" w:rsidR="002D27AD" w:rsidRPr="008567D0" w:rsidRDefault="00FC5981" w:rsidP="008567D0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Фондација за отворено општество, Косово.</w:t>
      </w:r>
    </w:p>
    <w:p w14:paraId="58A4F7ED" w14:textId="77777777" w:rsidR="008567D0" w:rsidRDefault="008567D0" w:rsidP="002D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0DF76082" w14:textId="77777777" w:rsidR="0022707D" w:rsidRDefault="0022707D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4BC81A23" w14:textId="2C12481F" w:rsidR="002D27AD" w:rsidRPr="008567D0" w:rsidRDefault="00FC5981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mk-MK"/>
        </w:rPr>
        <w:t xml:space="preserve">Цели на проектот </w:t>
      </w:r>
      <w:r w:rsidR="00DA04B5">
        <w:rPr>
          <w:rFonts w:ascii="Times New Roman" w:hAnsi="Times New Roman"/>
          <w:b/>
          <w:sz w:val="28"/>
          <w:szCs w:val="28"/>
          <w:lang w:val="mk-MK"/>
        </w:rPr>
        <w:t>„</w:t>
      </w:r>
      <w:r w:rsidR="00E972FC">
        <w:rPr>
          <w:rFonts w:ascii="Times New Roman" w:hAnsi="Times New Roman"/>
          <w:b/>
          <w:sz w:val="28"/>
          <w:szCs w:val="28"/>
          <w:lang w:val="en-GB"/>
        </w:rPr>
        <w:t>Balkan Tender Watch</w:t>
      </w:r>
      <w:r w:rsidR="00DA04B5">
        <w:rPr>
          <w:rFonts w:ascii="Times New Roman" w:hAnsi="Times New Roman"/>
          <w:b/>
          <w:sz w:val="28"/>
          <w:szCs w:val="28"/>
          <w:lang w:val="mk-MK"/>
        </w:rPr>
        <w:t>“</w:t>
      </w:r>
      <w:r w:rsidR="002D27AD" w:rsidRPr="008567D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569F7ECA" w14:textId="77777777" w:rsidR="002D27AD" w:rsidRPr="002D27AD" w:rsidRDefault="002D27AD" w:rsidP="002D2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FEF90" w14:textId="56CECFE6" w:rsidR="008567D0" w:rsidRPr="0022707D" w:rsidRDefault="00FC5981" w:rsidP="002270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Целта на овој проект е да се зголеми влијанието на граѓанското општество во државите од Западен Балкан врз антикорупциските политики и практики во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рамки на </w:t>
      </w:r>
      <w:r>
        <w:rPr>
          <w:rFonts w:ascii="Times New Roman" w:hAnsi="Times New Roman"/>
          <w:sz w:val="24"/>
          <w:szCs w:val="24"/>
          <w:lang w:val="mk-MK"/>
        </w:rPr>
        <w:t>циклусот на јавни набавки</w:t>
      </w:r>
      <w:r w:rsidR="00DA04B5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 xml:space="preserve"> преку искористување на интеграцијата во ЕУ како агенда за трансформација. </w:t>
      </w:r>
    </w:p>
    <w:p w14:paraId="27263B89" w14:textId="36723B32" w:rsidR="008567D0" w:rsidRPr="00FC5981" w:rsidRDefault="00FC5981" w:rsidP="002270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Проектот има за цел да изврши влијание врз владите од Западен Балкан за тие да воведат реформи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што </w:t>
      </w:r>
      <w:r>
        <w:rPr>
          <w:rFonts w:ascii="Times New Roman" w:hAnsi="Times New Roman"/>
          <w:sz w:val="24"/>
          <w:szCs w:val="24"/>
          <w:lang w:val="mk-MK"/>
        </w:rPr>
        <w:t xml:space="preserve">ќе овозможат воспоставување отчетни системи за јавни набавки кои се усогласени со правилата на ЕУ и градење сојузи со јавните власти кои се подготвени да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спроведуваат </w:t>
      </w:r>
      <w:r>
        <w:rPr>
          <w:rFonts w:ascii="Times New Roman" w:hAnsi="Times New Roman"/>
          <w:sz w:val="24"/>
          <w:szCs w:val="24"/>
          <w:lang w:val="mk-MK"/>
        </w:rPr>
        <w:t xml:space="preserve">реформи. </w:t>
      </w:r>
    </w:p>
    <w:p w14:paraId="00C6B08B" w14:textId="6BD00CC9" w:rsidR="008567D0" w:rsidRPr="0022707D" w:rsidRDefault="00FC5981" w:rsidP="0022707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Конкретна цел на проектот е зајакн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ување на </w:t>
      </w:r>
      <w:r>
        <w:rPr>
          <w:rFonts w:ascii="Times New Roman" w:hAnsi="Times New Roman"/>
          <w:sz w:val="24"/>
          <w:szCs w:val="24"/>
          <w:lang w:val="mk-MK"/>
        </w:rPr>
        <w:t xml:space="preserve">антикорупциската заедница (граѓански организации, вклучително и оние на локално ниво, медиуми) во државите од Западен Балкан за зголемување на обемот и опфатот на застапувањето што се темели на докази, </w:t>
      </w:r>
      <w:r w:rsidR="000E0499">
        <w:rPr>
          <w:rFonts w:ascii="Times New Roman" w:hAnsi="Times New Roman"/>
          <w:sz w:val="24"/>
          <w:szCs w:val="24"/>
          <w:lang w:val="mk-MK"/>
        </w:rPr>
        <w:t>следење</w:t>
      </w:r>
      <w:r w:rsidR="00DA04B5">
        <w:rPr>
          <w:rFonts w:ascii="Times New Roman" w:hAnsi="Times New Roman"/>
          <w:sz w:val="24"/>
          <w:szCs w:val="24"/>
          <w:lang w:val="mk-MK"/>
        </w:rPr>
        <w:t>то на јавните институции, како и иницијативите</w:t>
      </w:r>
      <w:r w:rsidR="000E0499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="000E0499">
        <w:rPr>
          <w:rFonts w:ascii="Times New Roman" w:hAnsi="Times New Roman"/>
          <w:sz w:val="24"/>
          <w:szCs w:val="24"/>
          <w:lang w:val="mk-MK"/>
        </w:rPr>
        <w:t xml:space="preserve">мониторинг на јавните политики во </w:t>
      </w:r>
      <w:r w:rsidR="00DA04B5">
        <w:rPr>
          <w:rFonts w:ascii="Times New Roman" w:hAnsi="Times New Roman"/>
          <w:sz w:val="24"/>
          <w:szCs w:val="24"/>
          <w:lang w:val="mk-MK"/>
        </w:rPr>
        <w:t xml:space="preserve">полето </w:t>
      </w:r>
      <w:r w:rsidR="000E0499">
        <w:rPr>
          <w:rFonts w:ascii="Times New Roman" w:hAnsi="Times New Roman"/>
          <w:sz w:val="24"/>
          <w:szCs w:val="24"/>
          <w:lang w:val="mk-MK"/>
        </w:rPr>
        <w:t>на јавни набавки</w:t>
      </w:r>
      <w:r w:rsidR="008567D0" w:rsidRPr="0022707D">
        <w:rPr>
          <w:rFonts w:ascii="Times New Roman" w:hAnsi="Times New Roman"/>
          <w:sz w:val="24"/>
          <w:szCs w:val="24"/>
          <w:lang w:eastAsia="ar-SA"/>
        </w:rPr>
        <w:t>.</w:t>
      </w:r>
    </w:p>
    <w:p w14:paraId="616F79B2" w14:textId="77777777" w:rsidR="008567D0" w:rsidRPr="0022707D" w:rsidRDefault="008567D0" w:rsidP="00856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C7A29" w14:textId="106CC11A" w:rsidR="008567D0" w:rsidRPr="008567D0" w:rsidRDefault="000E0499" w:rsidP="008567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mk-MK"/>
        </w:rPr>
        <w:t xml:space="preserve">Проектни активности </w:t>
      </w:r>
    </w:p>
    <w:p w14:paraId="6A072353" w14:textId="52593F32" w:rsidR="00E43EAA" w:rsidRPr="008E070D" w:rsidRDefault="009D7750" w:rsidP="008567D0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Освен други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серии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на </w:t>
      </w:r>
      <w:r>
        <w:rPr>
          <w:rFonts w:ascii="Times New Roman" w:hAnsi="Times New Roman"/>
          <w:sz w:val="24"/>
          <w:szCs w:val="24"/>
          <w:lang w:val="mk-MK"/>
        </w:rPr>
        <w:t xml:space="preserve">активности, </w:t>
      </w:r>
      <w:bookmarkStart w:id="0" w:name="_GoBack"/>
      <w:r w:rsidR="00D526BE">
        <w:rPr>
          <w:rFonts w:ascii="Times New Roman" w:hAnsi="Times New Roman"/>
          <w:sz w:val="24"/>
          <w:szCs w:val="24"/>
          <w:lang w:val="mk-MK"/>
        </w:rPr>
        <w:t>к</w:t>
      </w:r>
      <w:r w:rsidR="008E070D">
        <w:rPr>
          <w:rFonts w:ascii="Times New Roman" w:hAnsi="Times New Roman"/>
          <w:sz w:val="24"/>
          <w:szCs w:val="24"/>
          <w:lang w:val="mk-MK"/>
        </w:rPr>
        <w:t>оал</w:t>
      </w:r>
      <w:bookmarkEnd w:id="0"/>
      <w:r w:rsidR="008E070D">
        <w:rPr>
          <w:rFonts w:ascii="Times New Roman" w:hAnsi="Times New Roman"/>
          <w:sz w:val="24"/>
          <w:szCs w:val="24"/>
          <w:lang w:val="mk-MK"/>
        </w:rPr>
        <w:t xml:space="preserve">ицијата ќе организира </w:t>
      </w:r>
      <w:r w:rsidR="008E070D">
        <w:rPr>
          <w:rFonts w:ascii="Times New Roman" w:hAnsi="Times New Roman"/>
          <w:b/>
          <w:sz w:val="24"/>
          <w:szCs w:val="24"/>
          <w:lang w:val="mk-MK"/>
        </w:rPr>
        <w:t xml:space="preserve">обуки/работилници за 50 локални организации од целиот регион на Западен Балкан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со цел да ги опреми за примена на методологијата на </w:t>
      </w:r>
      <w:r w:rsidR="008567D0" w:rsidRPr="008567D0">
        <w:rPr>
          <w:rFonts w:ascii="Times New Roman" w:hAnsi="Times New Roman"/>
          <w:sz w:val="24"/>
          <w:szCs w:val="24"/>
        </w:rPr>
        <w:t xml:space="preserve">BTW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за подобрување на управувањето со јавните набавки на локално ниво. </w:t>
      </w:r>
      <w:r w:rsidR="008E070D">
        <w:rPr>
          <w:rFonts w:ascii="Times New Roman" w:hAnsi="Times New Roman"/>
          <w:b/>
          <w:sz w:val="24"/>
          <w:szCs w:val="24"/>
          <w:lang w:val="mk-MK"/>
        </w:rPr>
        <w:t xml:space="preserve">Фокусот ќе биде на мали локални организации кои се подготвени да ја </w:t>
      </w:r>
      <w:r w:rsidR="008E070D">
        <w:rPr>
          <w:rFonts w:ascii="Times New Roman" w:hAnsi="Times New Roman"/>
          <w:b/>
          <w:sz w:val="24"/>
          <w:szCs w:val="24"/>
          <w:lang w:val="mk-MK"/>
        </w:rPr>
        <w:lastRenderedPageBreak/>
        <w:t xml:space="preserve">прифатат нашата методологија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без оглед на нивните претходни активности/полиња на интерес. Од друга страна, нашата намера е да ги вклучиме во постојната регионална мрежа на граѓански организации, медиуми и засегнати страни, со што ќе изградиме основи за поголема и помоќна антикорупциска заедница во Западен Балкан. </w:t>
      </w:r>
    </w:p>
    <w:p w14:paraId="2EE31C57" w14:textId="376C863B" w:rsidR="00DC0AC3" w:rsidRDefault="008E070D" w:rsidP="00435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Десет мали локални организации од секоја земја-учесничка ќе бидат избрани за учество во обуката. 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Сите организации </w:t>
      </w:r>
      <w:r w:rsidR="00DA04B5">
        <w:rPr>
          <w:rFonts w:ascii="Times New Roman" w:hAnsi="Times New Roman"/>
          <w:bCs/>
          <w:sz w:val="24"/>
          <w:szCs w:val="24"/>
          <w:lang w:val="mk-MK"/>
        </w:rPr>
        <w:t xml:space="preserve">што </w:t>
      </w:r>
      <w:r>
        <w:rPr>
          <w:rFonts w:ascii="Times New Roman" w:hAnsi="Times New Roman"/>
          <w:bCs/>
          <w:sz w:val="24"/>
          <w:szCs w:val="24"/>
          <w:lang w:val="mk-MK"/>
        </w:rPr>
        <w:t>ќе ја завршат обуката ќе бидат поканети да подготват предлог-проект</w:t>
      </w:r>
      <w:r w:rsidR="00DA04B5">
        <w:rPr>
          <w:rFonts w:ascii="Times New Roman" w:hAnsi="Times New Roman"/>
          <w:bCs/>
          <w:sz w:val="24"/>
          <w:szCs w:val="24"/>
          <w:lang w:val="mk-MK"/>
        </w:rPr>
        <w:t>и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 што се фокусира</w:t>
      </w:r>
      <w:r w:rsidR="00DA04B5">
        <w:rPr>
          <w:rFonts w:ascii="Times New Roman" w:hAnsi="Times New Roman"/>
          <w:bCs/>
          <w:sz w:val="24"/>
          <w:szCs w:val="24"/>
          <w:lang w:val="mk-MK"/>
        </w:rPr>
        <w:t>ат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 на конкретни локални проблеми поврзани со јавните набавки во различни области </w:t>
      </w:r>
      <w:r w:rsidR="004356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mk-MK"/>
        </w:rPr>
        <w:t>здравство, животна средина, инфраструктура, образование...)</w:t>
      </w:r>
      <w:r w:rsidR="004356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mk-MK"/>
        </w:rPr>
        <w:t xml:space="preserve">Предлог-проектите треба да се достават до членката во </w:t>
      </w:r>
      <w:r w:rsidR="00DA04B5">
        <w:rPr>
          <w:rFonts w:ascii="Times New Roman" w:hAnsi="Times New Roman"/>
          <w:sz w:val="24"/>
          <w:szCs w:val="24"/>
          <w:lang w:val="mk-MK"/>
        </w:rPr>
        <w:t>к</w:t>
      </w:r>
      <w:r>
        <w:rPr>
          <w:rFonts w:ascii="Times New Roman" w:hAnsi="Times New Roman"/>
          <w:sz w:val="24"/>
          <w:szCs w:val="24"/>
          <w:lang w:val="mk-MK"/>
        </w:rPr>
        <w:t xml:space="preserve">оалицијата </w:t>
      </w:r>
      <w:r w:rsidR="00DC0AC3">
        <w:rPr>
          <w:rFonts w:ascii="Times New Roman" w:hAnsi="Times New Roman"/>
          <w:sz w:val="24"/>
          <w:szCs w:val="24"/>
        </w:rPr>
        <w:t xml:space="preserve">BTW </w:t>
      </w:r>
      <w:r>
        <w:rPr>
          <w:rFonts w:ascii="Times New Roman" w:hAnsi="Times New Roman"/>
          <w:sz w:val="24"/>
          <w:szCs w:val="24"/>
          <w:lang w:val="mk-MK"/>
        </w:rPr>
        <w:t>од нивната земја</w:t>
      </w:r>
      <w:r w:rsidR="00DC0AC3">
        <w:rPr>
          <w:rFonts w:ascii="Times New Roman" w:hAnsi="Times New Roman"/>
          <w:sz w:val="24"/>
          <w:szCs w:val="24"/>
        </w:rPr>
        <w:t xml:space="preserve">. </w:t>
      </w:r>
    </w:p>
    <w:p w14:paraId="59C312BD" w14:textId="35FF5E08" w:rsidR="00607D25" w:rsidRPr="004A6C31" w:rsidRDefault="008E070D" w:rsidP="00607D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Подгрантови за избрани локални организации </w:t>
      </w:r>
    </w:p>
    <w:p w14:paraId="2BB2D466" w14:textId="67777C94" w:rsidR="00854002" w:rsidRPr="008E070D" w:rsidRDefault="00DA04B5" w:rsidP="008567D0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10 до 20 организации од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групата на 50 организации кои ја завршиле обука ќе </w:t>
      </w:r>
      <w:r>
        <w:rPr>
          <w:rFonts w:ascii="Times New Roman" w:hAnsi="Times New Roman"/>
          <w:sz w:val="24"/>
          <w:szCs w:val="24"/>
          <w:lang w:val="mk-MK"/>
        </w:rPr>
        <w:t>бидат избрани за подгрантирање</w:t>
      </w:r>
      <w:r w:rsidR="00607D25">
        <w:rPr>
          <w:rFonts w:ascii="Times New Roman" w:hAnsi="Times New Roman"/>
          <w:sz w:val="24"/>
          <w:szCs w:val="24"/>
        </w:rPr>
        <w:t xml:space="preserve">. 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Вкупниот износ што ќе се распредели </w:t>
      </w:r>
      <w:r>
        <w:rPr>
          <w:rFonts w:ascii="Times New Roman" w:hAnsi="Times New Roman"/>
          <w:sz w:val="24"/>
          <w:szCs w:val="24"/>
          <w:lang w:val="mk-MK"/>
        </w:rPr>
        <w:t>преку овие под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грантови изнесува 100.000 евра. Предлог-проектите ќе бидат внимателно оценети и рангирани врз основа на постојните критериуми за евалуација. </w:t>
      </w:r>
      <w:r>
        <w:rPr>
          <w:rFonts w:ascii="Times New Roman" w:hAnsi="Times New Roman"/>
          <w:sz w:val="24"/>
          <w:szCs w:val="24"/>
          <w:lang w:val="mk-MK"/>
        </w:rPr>
        <w:t>Грантови ќе добијат п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редлозите со највисоки оценки </w:t>
      </w:r>
      <w:r w:rsidR="000329DE" w:rsidRPr="000329DE">
        <w:rPr>
          <w:rFonts w:ascii="Times New Roman" w:hAnsi="Times New Roman"/>
          <w:sz w:val="24"/>
          <w:szCs w:val="24"/>
        </w:rPr>
        <w:t>(2</w:t>
      </w:r>
      <w:r w:rsidR="008E070D">
        <w:rPr>
          <w:rFonts w:ascii="Times New Roman" w:hAnsi="Times New Roman"/>
          <w:sz w:val="24"/>
          <w:szCs w:val="24"/>
          <w:lang w:val="mk-MK"/>
        </w:rPr>
        <w:t xml:space="preserve"> до </w:t>
      </w:r>
      <w:r w:rsidR="000329DE" w:rsidRPr="000329DE">
        <w:rPr>
          <w:rFonts w:ascii="Times New Roman" w:hAnsi="Times New Roman"/>
          <w:sz w:val="24"/>
          <w:szCs w:val="24"/>
        </w:rPr>
        <w:t xml:space="preserve">4 </w:t>
      </w:r>
      <w:r w:rsidR="008E070D">
        <w:rPr>
          <w:rFonts w:ascii="Times New Roman" w:hAnsi="Times New Roman"/>
          <w:sz w:val="24"/>
          <w:szCs w:val="24"/>
          <w:lang w:val="mk-MK"/>
        </w:rPr>
        <w:t>предлози од секоја земја</w:t>
      </w:r>
      <w:r w:rsidR="000329DE" w:rsidRPr="000329DE">
        <w:rPr>
          <w:rFonts w:ascii="Times New Roman" w:hAnsi="Times New Roman"/>
          <w:sz w:val="24"/>
          <w:szCs w:val="24"/>
        </w:rPr>
        <w:t>)</w:t>
      </w:r>
      <w:r w:rsidR="008E070D">
        <w:rPr>
          <w:rFonts w:ascii="Times New Roman" w:hAnsi="Times New Roman"/>
          <w:sz w:val="24"/>
          <w:szCs w:val="24"/>
          <w:lang w:val="mk-MK"/>
        </w:rPr>
        <w:t>. Времетраењето на проектите треба да биде најмногу 12 месеци.</w:t>
      </w:r>
    </w:p>
    <w:p w14:paraId="068B0A93" w14:textId="21BFBE5D" w:rsidR="00521AA2" w:rsidRPr="00FD20F4" w:rsidRDefault="008E070D" w:rsidP="008567D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Следни чекори </w:t>
      </w:r>
    </w:p>
    <w:p w14:paraId="1F2161C0" w14:textId="6DF32429" w:rsidR="008567D0" w:rsidRPr="008567D0" w:rsidRDefault="008E070D" w:rsidP="00856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По завршувањето на </w:t>
      </w:r>
      <w:r w:rsidR="00DA04B5">
        <w:rPr>
          <w:rFonts w:ascii="Times New Roman" w:hAnsi="Times New Roman"/>
          <w:sz w:val="24"/>
          <w:szCs w:val="24"/>
          <w:lang w:val="mk-MK"/>
        </w:rPr>
        <w:t>под</w:t>
      </w:r>
      <w:r>
        <w:rPr>
          <w:rFonts w:ascii="Times New Roman" w:hAnsi="Times New Roman"/>
          <w:sz w:val="24"/>
          <w:szCs w:val="24"/>
          <w:lang w:val="mk-MK"/>
        </w:rPr>
        <w:t>грантовата шема, избраните организации ќе имаат можност да се сретнат со своите колеги од другите земји во регионот, како и со сите релевантни засегнати страни кои ќе присуствуваат на регионалната конференција</w:t>
      </w:r>
      <w:r w:rsidR="008567D0" w:rsidRPr="008567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mk-MK"/>
        </w:rPr>
        <w:t>Овој настан ќе предвиди создавање регионална мрежа на локални организации и воспоставување идна редовна комуникација меѓу нив, но и со другите релевантни засегнати страни</w:t>
      </w:r>
      <w:r w:rsidR="008567D0" w:rsidRPr="008567D0">
        <w:rPr>
          <w:rFonts w:ascii="Times New Roman" w:hAnsi="Times New Roman"/>
          <w:sz w:val="24"/>
          <w:szCs w:val="24"/>
        </w:rPr>
        <w:t>.</w:t>
      </w:r>
    </w:p>
    <w:sectPr w:rsidR="008567D0" w:rsidRPr="008567D0" w:rsidSect="0056365E">
      <w:pgSz w:w="11900" w:h="16838"/>
      <w:pgMar w:top="135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C591" w14:textId="77777777" w:rsidR="00305134" w:rsidRDefault="00305134" w:rsidP="00537B0E">
      <w:pPr>
        <w:spacing w:after="0" w:line="240" w:lineRule="auto"/>
      </w:pPr>
      <w:r>
        <w:separator/>
      </w:r>
    </w:p>
  </w:endnote>
  <w:endnote w:type="continuationSeparator" w:id="0">
    <w:p w14:paraId="1942F3C1" w14:textId="77777777" w:rsidR="00305134" w:rsidRDefault="00305134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203D" w14:textId="77777777" w:rsidR="00305134" w:rsidRDefault="00305134" w:rsidP="00537B0E">
      <w:pPr>
        <w:spacing w:after="0" w:line="240" w:lineRule="auto"/>
      </w:pPr>
      <w:r>
        <w:separator/>
      </w:r>
    </w:p>
  </w:footnote>
  <w:footnote w:type="continuationSeparator" w:id="0">
    <w:p w14:paraId="2AAE57EA" w14:textId="77777777" w:rsidR="00305134" w:rsidRDefault="00305134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8"/>
    <w:rsid w:val="0002555E"/>
    <w:rsid w:val="000329DE"/>
    <w:rsid w:val="00042C08"/>
    <w:rsid w:val="000858B3"/>
    <w:rsid w:val="000E0499"/>
    <w:rsid w:val="00190BA7"/>
    <w:rsid w:val="0022707D"/>
    <w:rsid w:val="002667D2"/>
    <w:rsid w:val="002B099D"/>
    <w:rsid w:val="002B11AB"/>
    <w:rsid w:val="002D0271"/>
    <w:rsid w:val="002D27AD"/>
    <w:rsid w:val="002E6023"/>
    <w:rsid w:val="00305134"/>
    <w:rsid w:val="00316E7A"/>
    <w:rsid w:val="00391FBC"/>
    <w:rsid w:val="003C7A35"/>
    <w:rsid w:val="003F3334"/>
    <w:rsid w:val="00435633"/>
    <w:rsid w:val="00435F10"/>
    <w:rsid w:val="004A6C31"/>
    <w:rsid w:val="004D7506"/>
    <w:rsid w:val="00500068"/>
    <w:rsid w:val="00521AA2"/>
    <w:rsid w:val="00522A2A"/>
    <w:rsid w:val="00524DB6"/>
    <w:rsid w:val="00537B0E"/>
    <w:rsid w:val="0056365E"/>
    <w:rsid w:val="005671A0"/>
    <w:rsid w:val="005B676D"/>
    <w:rsid w:val="00607D25"/>
    <w:rsid w:val="006270E4"/>
    <w:rsid w:val="00633E09"/>
    <w:rsid w:val="006479D4"/>
    <w:rsid w:val="00670447"/>
    <w:rsid w:val="006A088C"/>
    <w:rsid w:val="007F6A33"/>
    <w:rsid w:val="007F7769"/>
    <w:rsid w:val="00852242"/>
    <w:rsid w:val="00854002"/>
    <w:rsid w:val="008567D0"/>
    <w:rsid w:val="008E070D"/>
    <w:rsid w:val="008E5911"/>
    <w:rsid w:val="009446BA"/>
    <w:rsid w:val="009D7750"/>
    <w:rsid w:val="00A81A84"/>
    <w:rsid w:val="00AB3EF4"/>
    <w:rsid w:val="00B271E8"/>
    <w:rsid w:val="00B55677"/>
    <w:rsid w:val="00B60CC2"/>
    <w:rsid w:val="00B84F6B"/>
    <w:rsid w:val="00BD590D"/>
    <w:rsid w:val="00C26E20"/>
    <w:rsid w:val="00C77938"/>
    <w:rsid w:val="00D526BE"/>
    <w:rsid w:val="00DA04B5"/>
    <w:rsid w:val="00DB4650"/>
    <w:rsid w:val="00DC0AC3"/>
    <w:rsid w:val="00E209E2"/>
    <w:rsid w:val="00E351FD"/>
    <w:rsid w:val="00E43EAA"/>
    <w:rsid w:val="00E972FC"/>
    <w:rsid w:val="00EF6C2E"/>
    <w:rsid w:val="00F62648"/>
    <w:rsid w:val="00F97277"/>
    <w:rsid w:val="00FC5981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35"/>
  </w:style>
  <w:style w:type="table" w:styleId="TableGrid">
    <w:name w:val="Table Grid"/>
    <w:basedOn w:val="TableNormal"/>
    <w:uiPriority w:val="59"/>
    <w:rsid w:val="003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35"/>
  </w:style>
  <w:style w:type="table" w:styleId="TableGrid">
    <w:name w:val="Table Grid"/>
    <w:basedOn w:val="TableNormal"/>
    <w:uiPriority w:val="59"/>
    <w:rsid w:val="003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572</Words>
  <Characters>3343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abacus@abacus.com.mk</cp:lastModifiedBy>
  <cp:revision>7</cp:revision>
  <dcterms:created xsi:type="dcterms:W3CDTF">2019-06-13T14:29:00Z</dcterms:created>
  <dcterms:modified xsi:type="dcterms:W3CDTF">2019-06-13T16:41:00Z</dcterms:modified>
</cp:coreProperties>
</file>